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18E9F638" w:rsidR="00A03231" w:rsidRPr="0051139A" w:rsidRDefault="003274FB" w:rsidP="00A03231">
      <w:pPr>
        <w:autoSpaceDE w:val="0"/>
        <w:autoSpaceDN w:val="0"/>
        <w:spacing w:line="0" w:lineRule="atLeast"/>
        <w:rPr>
          <w:sz w:val="22"/>
        </w:rPr>
      </w:pPr>
      <w:r>
        <w:rPr>
          <w:rFonts w:hint="eastAsia"/>
          <w:sz w:val="22"/>
        </w:rPr>
        <w:t>香川県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676D4C83"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671D2211"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3274FB">
              <w:rPr>
                <w:rFonts w:asciiTheme="majorEastAsia" w:eastAsiaTheme="majorEastAsia" w:hAnsiTheme="majorEastAsia" w:cs="Times New Roman" w:hint="eastAsia"/>
                <w:sz w:val="15"/>
                <w:szCs w:val="15"/>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413FF683" w:rsidR="00A03231" w:rsidRPr="0051139A" w:rsidRDefault="00A03231" w:rsidP="009376AF">
            <w:pPr>
              <w:rPr>
                <w:rFonts w:asciiTheme="majorEastAsia" w:eastAsiaTheme="majorEastAsia" w:hAnsiTheme="majorEastAsia"/>
                <w:sz w:val="20"/>
                <w:szCs w:val="20"/>
              </w:rPr>
            </w:pPr>
            <w:bookmarkStart w:id="0" w:name="_GoBack"/>
            <w:bookmarkEnd w:id="0"/>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2D1B" w14:textId="77777777" w:rsidR="000A7109" w:rsidRPr="00CB4E7A" w:rsidRDefault="000A7109">
      <w:pPr>
        <w:rPr>
          <w:sz w:val="20"/>
          <w:szCs w:val="20"/>
        </w:rPr>
      </w:pPr>
      <w:r w:rsidRPr="00CB4E7A">
        <w:rPr>
          <w:sz w:val="20"/>
          <w:szCs w:val="20"/>
        </w:rPr>
        <w:separator/>
      </w:r>
    </w:p>
  </w:endnote>
  <w:endnote w:type="continuationSeparator" w:id="0">
    <w:p w14:paraId="5667F6AF" w14:textId="77777777" w:rsidR="000A7109" w:rsidRPr="00CB4E7A" w:rsidRDefault="000A710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02268" w14:textId="77777777" w:rsidR="000A7109" w:rsidRPr="00CB4E7A" w:rsidRDefault="000A7109">
      <w:pPr>
        <w:rPr>
          <w:sz w:val="20"/>
          <w:szCs w:val="20"/>
        </w:rPr>
      </w:pPr>
      <w:r w:rsidRPr="00CB4E7A">
        <w:rPr>
          <w:sz w:val="20"/>
          <w:szCs w:val="20"/>
        </w:rPr>
        <w:separator/>
      </w:r>
    </w:p>
  </w:footnote>
  <w:footnote w:type="continuationSeparator" w:id="0">
    <w:p w14:paraId="48A54D18" w14:textId="77777777" w:rsidR="000A7109" w:rsidRPr="00CB4E7A" w:rsidRDefault="000A710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7109"/>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4FB"/>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1D88-39A4-4C9F-8CF2-FA97E4C0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2018-08-06T02:25:00Z</dcterms:modified>
</cp:coreProperties>
</file>